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  <w:r>
        <w:rPr>
          <w:rFonts w:hint="eastAsia" w:ascii="黑体" w:hAnsi="黑体" w:eastAsia="黑体"/>
          <w:sz w:val="28"/>
          <w:szCs w:val="28"/>
        </w:rPr>
        <w:t>：</w:t>
      </w:r>
    </w:p>
    <w:tbl>
      <w:tblPr>
        <w:tblStyle w:val="3"/>
        <w:tblpPr w:leftFromText="180" w:rightFromText="180" w:vertAnchor="page" w:horzAnchor="margin" w:tblpXSpec="center" w:tblpY="2401"/>
        <w:tblW w:w="79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811"/>
        <w:gridCol w:w="9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0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江西师范大学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2018年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教师科研能力提升培训班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推荐名额分配表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eastAsia="zh-CN"/>
              </w:rPr>
              <w:t>（自然科学类）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名　　 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数学与信息科学学院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化学化工学院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物理与通信电子学院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地理环境学院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城市建设学院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软件学院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计算机信息工程学院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科学技术学院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财务处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监察审计处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科技处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国家单糖化学合成工程技术研究中心（江西省精细化工重点实验室）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分子筛膜材料国家地方联合工程实验室(江西)（江西省无机膜材料工程技术研究中心、无机膜材料国际科技合作基地、江西省分子筛膜材料工程实验室）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“鄱阳湖湿地与流域研究”省部共建教育部重点实验室（江西省鄱阳湖综合治理与资源开发重点实验室）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“功能有机小分子”教育部重点实验室（江西省绿色化学重点实验室）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网络化支撑软件国际科技合作基地（江西省高性能计算技术重点实验室）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国家体育总局水上项目训练监控与干预重点实验室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江西省光电子通信重点实验室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江西省亚热带植物资源保护与利用重点实验室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江西省心理与认知科学重点实验室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江西省化学生物学重点实验室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江西省动漫创意与数字娱乐重点实验室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江西省微纳材料与传感器件重点实验室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江西省分布计算工程技术研究中心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江西省纳米纤维工程技术研究中心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江西省产业转型升级软科学研究基地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28</w:t>
            </w:r>
            <w:bookmarkStart w:id="0" w:name="_GoBack"/>
            <w:bookmarkEnd w:id="0"/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分析测试中心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33DDD"/>
    <w:rsid w:val="50397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hp03</dc:creator>
  <cp:lastModifiedBy>无鱼</cp:lastModifiedBy>
  <dcterms:modified xsi:type="dcterms:W3CDTF">2018-05-29T02:44:31Z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